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85F" w:rsidRDefault="00CA379E">
      <w:pPr>
        <w:tabs>
          <w:tab w:val="left" w:pos="8730"/>
        </w:tabs>
        <w:jc w:val="center"/>
      </w:pPr>
      <w:bookmarkStart w:id="0" w:name="_GoBack"/>
      <w:bookmarkEnd w:id="0"/>
      <w:r>
        <w:rPr>
          <w:rFonts w:ascii="Cambria" w:eastAsia="Cambria" w:hAnsi="Cambria" w:cs="Cambria"/>
          <w:sz w:val="48"/>
          <w:szCs w:val="48"/>
        </w:rPr>
        <w:t>Health Insurance Committee</w:t>
      </w:r>
    </w:p>
    <w:p w:rsidR="0003485F" w:rsidRDefault="00CA379E">
      <w:pPr>
        <w:tabs>
          <w:tab w:val="left" w:pos="8730"/>
        </w:tabs>
        <w:jc w:val="center"/>
      </w:pPr>
      <w:r>
        <w:rPr>
          <w:rFonts w:ascii="Cambria" w:eastAsia="Cambria" w:hAnsi="Cambria" w:cs="Cambria"/>
          <w:sz w:val="28"/>
          <w:szCs w:val="28"/>
        </w:rPr>
        <w:t>Kalispell Public Schools</w:t>
      </w:r>
    </w:p>
    <w:p w:rsidR="0003485F" w:rsidRDefault="00CA379E">
      <w:pPr>
        <w:tabs>
          <w:tab w:val="left" w:pos="8730"/>
        </w:tabs>
        <w:jc w:val="center"/>
      </w:pPr>
      <w:r>
        <w:rPr>
          <w:rFonts w:ascii="Cambria" w:eastAsia="Cambria" w:hAnsi="Cambria" w:cs="Cambria"/>
          <w:sz w:val="28"/>
          <w:szCs w:val="28"/>
        </w:rPr>
        <w:t>Date: March 24, 2016</w:t>
      </w:r>
    </w:p>
    <w:p w:rsidR="0003485F" w:rsidRDefault="00CA379E">
      <w:pPr>
        <w:tabs>
          <w:tab w:val="left" w:pos="8730"/>
        </w:tabs>
        <w:jc w:val="center"/>
      </w:pPr>
      <w:r>
        <w:rPr>
          <w:rFonts w:ascii="Cambria" w:eastAsia="Cambria" w:hAnsi="Cambria" w:cs="Cambria"/>
          <w:sz w:val="28"/>
          <w:szCs w:val="28"/>
        </w:rPr>
        <w:t>4:00pm FHS Conference Room (adjourn 5:15)</w:t>
      </w:r>
    </w:p>
    <w:p w:rsidR="0003485F" w:rsidRDefault="0003485F">
      <w:pPr>
        <w:spacing w:after="200"/>
      </w:pPr>
    </w:p>
    <w:p w:rsidR="0003485F" w:rsidRDefault="00CA379E">
      <w:pPr>
        <w:spacing w:line="240" w:lineRule="auto"/>
      </w:pPr>
      <w:r>
        <w:rPr>
          <w:rFonts w:ascii="Libre Baskerville" w:eastAsia="Libre Baskerville" w:hAnsi="Libre Baskerville" w:cs="Libre Baskerville"/>
          <w:b/>
        </w:rPr>
        <w:t xml:space="preserve">Members:  </w:t>
      </w:r>
      <w:r>
        <w:rPr>
          <w:rFonts w:ascii="Libre Baskerville" w:eastAsia="Libre Baskerville" w:hAnsi="Libre Baskerville" w:cs="Libre Baskerville"/>
        </w:rPr>
        <w:t xml:space="preserve">  </w:t>
      </w:r>
      <w:r>
        <w:rPr>
          <w:rFonts w:ascii="Libre Baskerville" w:eastAsia="Libre Baskerville" w:hAnsi="Libre Baskerville" w:cs="Libre Baskerville"/>
          <w:strike/>
        </w:rPr>
        <w:t xml:space="preserve"> Shari Culbert</w:t>
      </w:r>
      <w:r>
        <w:rPr>
          <w:rFonts w:ascii="Libre Baskerville" w:eastAsia="Libre Baskerville" w:hAnsi="Libre Baskerville" w:cs="Libre Baskerville"/>
        </w:rPr>
        <w:t xml:space="preserve">, Judd Nyberg, Dawn Ann Anderson, Deb Hunt, Bette Albright, </w:t>
      </w:r>
    </w:p>
    <w:p w:rsidR="0003485F" w:rsidRDefault="00CA379E">
      <w:pPr>
        <w:spacing w:line="240" w:lineRule="auto"/>
        <w:ind w:left="1440"/>
      </w:pPr>
      <w:r>
        <w:rPr>
          <w:rFonts w:ascii="Libre Baskerville" w:eastAsia="Libre Baskerville" w:hAnsi="Libre Baskerville" w:cs="Libre Baskerville"/>
          <w:strike/>
        </w:rPr>
        <w:t>Greg Letourneau</w:t>
      </w:r>
      <w:r>
        <w:rPr>
          <w:rFonts w:ascii="Libre Baskerville" w:eastAsia="Libre Baskerville" w:hAnsi="Libre Baskerville" w:cs="Libre Baskerville"/>
        </w:rPr>
        <w:t xml:space="preserve">, Lisa Lykins - Chair, Mike Lincoln, Mike Thiel, Niki Dykstra, Sylvia Heselwood, Warren Lane, </w:t>
      </w:r>
      <w:r>
        <w:rPr>
          <w:rFonts w:ascii="Libre Baskerville" w:eastAsia="Libre Baskerville" w:hAnsi="Libre Baskerville" w:cs="Libre Baskerville"/>
          <w:strike/>
        </w:rPr>
        <w:t>Alex Schaeffer</w:t>
      </w:r>
      <w:r>
        <w:rPr>
          <w:rFonts w:ascii="Libre Baskerville" w:eastAsia="Libre Baskerville" w:hAnsi="Libre Baskerville" w:cs="Libre Baskerville"/>
        </w:rPr>
        <w:t xml:space="preserve">, Karen Mainolfi, </w:t>
      </w:r>
      <w:r>
        <w:rPr>
          <w:rFonts w:ascii="Libre Baskerville" w:eastAsia="Libre Baskerville" w:hAnsi="Libre Baskerville" w:cs="Libre Baskerville"/>
          <w:strike/>
        </w:rPr>
        <w:t>Jack Fallon</w:t>
      </w:r>
      <w:r>
        <w:rPr>
          <w:rFonts w:ascii="Libre Baskerville" w:eastAsia="Libre Baskerville" w:hAnsi="Libre Baskerville" w:cs="Libre Baskerville"/>
        </w:rPr>
        <w:t>, Kris Hursh</w:t>
      </w:r>
    </w:p>
    <w:p w:rsidR="0003485F" w:rsidRDefault="00CA379E">
      <w:r>
        <w:rPr>
          <w:rFonts w:ascii="Libre Baskerville" w:eastAsia="Libre Baskerville" w:hAnsi="Libre Baskerville" w:cs="Libre Baskerville"/>
          <w:b/>
        </w:rPr>
        <w:t>Advisors:      </w:t>
      </w:r>
      <w:r>
        <w:rPr>
          <w:rFonts w:ascii="Libre Baskerville" w:eastAsia="Libre Baskerville" w:hAnsi="Libre Baskerville" w:cs="Libre Baskerville"/>
          <w:strike/>
        </w:rPr>
        <w:t>Gwyn Anderson</w:t>
      </w:r>
      <w:r>
        <w:rPr>
          <w:rFonts w:ascii="Libre Baskerville" w:eastAsia="Libre Baskerville" w:hAnsi="Libre Baskerville" w:cs="Libre Baskerville"/>
        </w:rPr>
        <w:t xml:space="preserve">, Tracy Scott, Mark Flatau, </w:t>
      </w:r>
      <w:r>
        <w:rPr>
          <w:rFonts w:ascii="Libre Baskerville" w:eastAsia="Libre Baskerville" w:hAnsi="Libre Baskerville" w:cs="Libre Baskerville"/>
          <w:strike/>
        </w:rPr>
        <w:t>Braumlee Boyce, Dave Schultz</w:t>
      </w:r>
    </w:p>
    <w:p w:rsidR="0003485F" w:rsidRDefault="00CA379E">
      <w:r>
        <w:rPr>
          <w:rFonts w:ascii="Libre Baskerville" w:eastAsia="Libre Baskerville" w:hAnsi="Libre Baskerville" w:cs="Libre Baskerville"/>
          <w:b/>
        </w:rPr>
        <w:t>Consultant:</w:t>
      </w:r>
      <w:r>
        <w:rPr>
          <w:rFonts w:ascii="Libre Baskerville" w:eastAsia="Libre Baskerville" w:hAnsi="Libre Baskerville" w:cs="Libre Baskerville"/>
        </w:rPr>
        <w:tab/>
        <w:t>Michael Y</w:t>
      </w:r>
      <w:r>
        <w:rPr>
          <w:rFonts w:ascii="Libre Baskerville" w:eastAsia="Libre Baskerville" w:hAnsi="Libre Baskerville" w:cs="Libre Baskerville"/>
        </w:rPr>
        <w:t xml:space="preserve">oung, </w:t>
      </w:r>
      <w:proofErr w:type="spellStart"/>
      <w:r>
        <w:rPr>
          <w:rFonts w:ascii="Libre Baskerville" w:eastAsia="Libre Baskerville" w:hAnsi="Libre Baskerville" w:cs="Libre Baskerville"/>
        </w:rPr>
        <w:t>Consilium</w:t>
      </w:r>
      <w:proofErr w:type="spellEnd"/>
    </w:p>
    <w:p w:rsidR="0003485F" w:rsidRDefault="00CA379E">
      <w:pPr>
        <w:spacing w:after="200"/>
        <w:jc w:val="center"/>
      </w:pPr>
      <w:r>
        <w:rPr>
          <w:rFonts w:ascii="Libre Baskerville" w:eastAsia="Libre Baskerville" w:hAnsi="Libre Baskerville" w:cs="Libre Baskerville"/>
          <w:sz w:val="18"/>
          <w:szCs w:val="18"/>
        </w:rPr>
        <w:t xml:space="preserve">(Names marked through </w:t>
      </w:r>
      <w:proofErr w:type="gramStart"/>
      <w:r>
        <w:rPr>
          <w:rFonts w:ascii="Libre Baskerville" w:eastAsia="Libre Baskerville" w:hAnsi="Libre Baskerville" w:cs="Libre Baskerville"/>
          <w:sz w:val="18"/>
          <w:szCs w:val="18"/>
        </w:rPr>
        <w:t>we</w:t>
      </w:r>
      <w:proofErr w:type="gramEnd"/>
      <w:r>
        <w:rPr>
          <w:rFonts w:ascii="Libre Baskerville" w:eastAsia="Libre Baskerville" w:hAnsi="Libre Baskerville" w:cs="Libre Baskerville"/>
          <w:sz w:val="18"/>
          <w:szCs w:val="18"/>
        </w:rPr>
        <w:t xml:space="preserve"> not in attendance at this meeting)</w:t>
      </w:r>
    </w:p>
    <w:p w:rsidR="0003485F" w:rsidRDefault="00CA379E">
      <w:pPr>
        <w:spacing w:after="200"/>
        <w:jc w:val="center"/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Agenda</w:t>
      </w:r>
    </w:p>
    <w:p w:rsidR="0003485F" w:rsidRDefault="00CA379E">
      <w:pPr>
        <w:spacing w:after="200"/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Plan Financial Summary/Outlook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                                              Mike Young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>Medical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 xml:space="preserve">February claims again exceeded premium income (123.2%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yr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to date)</w:t>
      </w:r>
    </w:p>
    <w:p w:rsidR="0003485F" w:rsidRDefault="00CA379E">
      <w:pPr>
        <w:ind w:firstLine="720"/>
      </w:pPr>
      <w:r>
        <w:rPr>
          <w:rFonts w:ascii="Libre Baskerville" w:eastAsia="Libre Baskerville" w:hAnsi="Libre Baskerville" w:cs="Libre Baskerville"/>
          <w:sz w:val="24"/>
          <w:szCs w:val="24"/>
        </w:rPr>
        <w:t>:  $33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4,349 premium vs. $479,837 claims paid 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>February details</w:t>
      </w:r>
    </w:p>
    <w:p w:rsidR="0003485F" w:rsidRDefault="00CA379E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Large claims peaked out (hit stop loss)</w:t>
      </w:r>
    </w:p>
    <w:p w:rsidR="0003485F" w:rsidRDefault="00CA379E">
      <w:pPr>
        <w:numPr>
          <w:ilvl w:val="0"/>
          <w:numId w:val="1"/>
        </w:numPr>
        <w:spacing w:after="200"/>
        <w:ind w:hanging="360"/>
        <w:contextualSpacing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1 new claim at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approx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$99,000.00</w:t>
      </w:r>
    </w:p>
    <w:p w:rsidR="0003485F" w:rsidRDefault="00CA379E">
      <w:pPr>
        <w:numPr>
          <w:ilvl w:val="0"/>
          <w:numId w:val="1"/>
        </w:numPr>
        <w:spacing w:after="200"/>
        <w:ind w:hanging="360"/>
        <w:contextualSpacing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Routine claims are up</w:t>
      </w:r>
    </w:p>
    <w:p w:rsidR="0003485F" w:rsidRDefault="00CA379E">
      <w:pPr>
        <w:numPr>
          <w:ilvl w:val="0"/>
          <w:numId w:val="1"/>
        </w:numPr>
        <w:spacing w:after="200"/>
        <w:ind w:hanging="360"/>
        <w:contextualSpacing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Stop loss reimbursements $470,000 this year</w:t>
      </w:r>
    </w:p>
    <w:p w:rsidR="0003485F" w:rsidRDefault="00CA379E">
      <w:pPr>
        <w:spacing w:after="200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We now have 15 large claims cases. Some have been resolved. </w:t>
      </w:r>
    </w:p>
    <w:p w:rsidR="0003485F" w:rsidRDefault="00CA379E">
      <w:pPr>
        <w:spacing w:after="200"/>
      </w:pP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Year end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 xml:space="preserve"> projections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>Fixed costs/claims: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$5,741,099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 xml:space="preserve">Funding:       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+4,920,136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>Premium shortfall:                                 &lt;820,963&gt;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 xml:space="preserve">Drug Co Rebates: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 xml:space="preserve">                 +30,000</w:t>
      </w:r>
    </w:p>
    <w:p w:rsidR="0003485F" w:rsidRDefault="00CA379E"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BeWell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costs:               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             &lt;100,000&gt;</w:t>
      </w:r>
    </w:p>
    <w:p w:rsidR="0003485F" w:rsidRDefault="00CA379E">
      <w:r>
        <w:rPr>
          <w:rFonts w:ascii="Libre Baskerville" w:eastAsia="Libre Baskerville" w:hAnsi="Libre Baskerville" w:cs="Libre Baskerville"/>
          <w:sz w:val="24"/>
          <w:szCs w:val="24"/>
        </w:rPr>
        <w:t xml:space="preserve">ACA transitional reinsurance Fee:      </w:t>
      </w:r>
      <w:r>
        <w:rPr>
          <w:rFonts w:ascii="Libre Baskerville" w:eastAsia="Libre Baskerville" w:hAnsi="Libre Baskerville" w:cs="Libre Baskerville"/>
          <w:sz w:val="24"/>
          <w:szCs w:val="24"/>
          <w:u w:val="single"/>
        </w:rPr>
        <w:t xml:space="preserve">   &lt;66,220&gt;</w:t>
      </w:r>
    </w:p>
    <w:p w:rsidR="0003485F" w:rsidRDefault="00CA379E">
      <w:pPr>
        <w:spacing w:line="240" w:lineRule="auto"/>
      </w:pPr>
      <w:r>
        <w:rPr>
          <w:rFonts w:ascii="Libre Baskerville" w:eastAsia="Libre Baskerville" w:hAnsi="Libre Baskerville" w:cs="Libre Baskerville"/>
        </w:rPr>
        <w:t xml:space="preserve">                                                                            &lt;957,183&gt;</w:t>
      </w:r>
    </w:p>
    <w:p w:rsidR="0003485F" w:rsidRDefault="00CA379E">
      <w:pPr>
        <w:spacing w:line="240" w:lineRule="auto"/>
      </w:pPr>
      <w:r>
        <w:rPr>
          <w:rFonts w:ascii="Libre Baskerville" w:eastAsia="Libre Baskerville" w:hAnsi="Libre Baskerville" w:cs="Libre Baskerville"/>
        </w:rPr>
        <w:t>2015-16 Beginning Assets            $2,197,000</w:t>
      </w:r>
    </w:p>
    <w:p w:rsidR="0003485F" w:rsidRDefault="00CA379E">
      <w:pPr>
        <w:spacing w:line="240" w:lineRule="auto"/>
      </w:pPr>
      <w:r>
        <w:rPr>
          <w:rFonts w:ascii="Libre Baskerville" w:eastAsia="Libre Baskerville" w:hAnsi="Libre Baskerville" w:cs="Libre Baskerville"/>
        </w:rPr>
        <w:t xml:space="preserve">2015-16 experience                     </w:t>
      </w:r>
      <w:r>
        <w:rPr>
          <w:rFonts w:ascii="Libre Baskerville" w:eastAsia="Libre Baskerville" w:hAnsi="Libre Baskerville" w:cs="Libre Baskerville"/>
          <w:u w:val="single"/>
        </w:rPr>
        <w:t>&lt;$   957,</w:t>
      </w:r>
      <w:r>
        <w:rPr>
          <w:rFonts w:ascii="Libre Baskerville" w:eastAsia="Libre Baskerville" w:hAnsi="Libre Baskerville" w:cs="Libre Baskerville"/>
          <w:u w:val="single"/>
        </w:rPr>
        <w:t>183&gt;</w:t>
      </w:r>
    </w:p>
    <w:p w:rsidR="0003485F" w:rsidRDefault="00CA379E">
      <w:pPr>
        <w:spacing w:line="240" w:lineRule="auto"/>
      </w:pPr>
      <w:r>
        <w:rPr>
          <w:rFonts w:ascii="Libre Baskerville" w:eastAsia="Libre Baskerville" w:hAnsi="Libre Baskerville" w:cs="Libre Baskerville"/>
        </w:rPr>
        <w:t>Projected yr. end assets                $1,239.817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>Dental</w:t>
      </w:r>
    </w:p>
    <w:p w:rsidR="0003485F" w:rsidRDefault="00CA379E">
      <w:r>
        <w:rPr>
          <w:rFonts w:ascii="Libre Baskerville" w:eastAsia="Libre Baskerville" w:hAnsi="Libre Baskerville" w:cs="Libre Baskerville"/>
        </w:rPr>
        <w:t>105% year to date claims to funding</w:t>
      </w:r>
    </w:p>
    <w:p w:rsidR="0003485F" w:rsidRDefault="00CA379E">
      <w:r>
        <w:rPr>
          <w:rFonts w:ascii="Libre Baskerville" w:eastAsia="Libre Baskerville" w:hAnsi="Libre Baskerville" w:cs="Libre Baskerville"/>
        </w:rPr>
        <w:t>Need to consider increasing rates on the high use groups - in this case the tiers with family/kids</w:t>
      </w:r>
    </w:p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>Vision</w:t>
      </w:r>
    </w:p>
    <w:p w:rsidR="0003485F" w:rsidRDefault="00CA379E">
      <w:r>
        <w:rPr>
          <w:rFonts w:ascii="Libre Baskerville" w:eastAsia="Libre Baskerville" w:hAnsi="Libre Baskerville" w:cs="Libre Baskerville"/>
        </w:rPr>
        <w:t>89% year to date claims to funding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lastRenderedPageBreak/>
        <w:t>Consortium Per</w:t>
      </w:r>
      <w:r>
        <w:rPr>
          <w:rFonts w:ascii="Libre Baskerville" w:eastAsia="Libre Baskerville" w:hAnsi="Libre Baskerville" w:cs="Libre Baskerville"/>
          <w:b/>
          <w:u w:val="single"/>
        </w:rPr>
        <w:t>formance</w:t>
      </w:r>
    </w:p>
    <w:p w:rsidR="0003485F" w:rsidRDefault="00CA379E">
      <w:r>
        <w:rPr>
          <w:rFonts w:ascii="Libre Baskerville" w:eastAsia="Libre Baskerville" w:hAnsi="Libre Baskerville" w:cs="Libre Baskerville"/>
          <w:b/>
        </w:rPr>
        <w:t>WSD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-WSD Claims at 93.7 </w:t>
      </w:r>
      <w:proofErr w:type="spellStart"/>
      <w:r>
        <w:rPr>
          <w:rFonts w:ascii="Libre Baskerville" w:eastAsia="Libre Baskerville" w:hAnsi="Libre Baskerville" w:cs="Libre Baskerville"/>
        </w:rPr>
        <w:t>yr</w:t>
      </w:r>
      <w:proofErr w:type="spellEnd"/>
      <w:r>
        <w:rPr>
          <w:rFonts w:ascii="Libre Baskerville" w:eastAsia="Libre Baskerville" w:hAnsi="Libre Baskerville" w:cs="Libre Baskerville"/>
        </w:rPr>
        <w:t xml:space="preserve"> to date</w:t>
      </w:r>
    </w:p>
    <w:p w:rsidR="0003485F" w:rsidRDefault="00CA379E">
      <w:r>
        <w:rPr>
          <w:rFonts w:ascii="Libre Baskerville" w:eastAsia="Libre Baskerville" w:hAnsi="Libre Baskerville" w:cs="Libre Baskerville"/>
        </w:rPr>
        <w:t>-could be at approx. 90% by year end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-don’t </w:t>
      </w:r>
      <w:proofErr w:type="spellStart"/>
      <w:r>
        <w:rPr>
          <w:rFonts w:ascii="Libre Baskerville" w:eastAsia="Libre Baskerville" w:hAnsi="Libre Baskerville" w:cs="Libre Baskerville"/>
        </w:rPr>
        <w:t>forsee</w:t>
      </w:r>
      <w:proofErr w:type="spellEnd"/>
      <w:r>
        <w:rPr>
          <w:rFonts w:ascii="Libre Baskerville" w:eastAsia="Libre Baskerville" w:hAnsi="Libre Baskerville" w:cs="Libre Baskerville"/>
        </w:rPr>
        <w:t xml:space="preserve"> premium increase for 6th </w:t>
      </w:r>
      <w:proofErr w:type="spellStart"/>
      <w:r>
        <w:rPr>
          <w:rFonts w:ascii="Libre Baskerville" w:eastAsia="Libre Baskerville" w:hAnsi="Libre Baskerville" w:cs="Libre Baskerville"/>
        </w:rPr>
        <w:t>yr</w:t>
      </w:r>
      <w:proofErr w:type="spellEnd"/>
      <w:r>
        <w:rPr>
          <w:rFonts w:ascii="Libre Baskerville" w:eastAsia="Libre Baskerville" w:hAnsi="Libre Baskerville" w:cs="Libre Baskerville"/>
        </w:rPr>
        <w:t xml:space="preserve"> in a row</w:t>
      </w:r>
    </w:p>
    <w:p w:rsidR="0003485F" w:rsidRDefault="00CA379E">
      <w:r>
        <w:rPr>
          <w:rFonts w:ascii="Libre Baskerville" w:eastAsia="Libre Baskerville" w:hAnsi="Libre Baskerville" w:cs="Libre Baskerville"/>
          <w:b/>
        </w:rPr>
        <w:t>Flathead Group</w:t>
      </w:r>
    </w:p>
    <w:p w:rsidR="0003485F" w:rsidRDefault="00CA379E">
      <w:r>
        <w:rPr>
          <w:rFonts w:ascii="Libre Baskerville" w:eastAsia="Libre Baskerville" w:hAnsi="Libre Baskerville" w:cs="Libre Baskerville"/>
        </w:rPr>
        <w:t>-claims at 81% actual vs funding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 </w:t>
      </w:r>
      <w:proofErr w:type="gramStart"/>
      <w:r>
        <w:rPr>
          <w:rFonts w:ascii="Libre Baskerville" w:eastAsia="Libre Baskerville" w:hAnsi="Libre Baskerville" w:cs="Libre Baskerville"/>
        </w:rPr>
        <w:t>approx</w:t>
      </w:r>
      <w:proofErr w:type="gramEnd"/>
      <w:r>
        <w:rPr>
          <w:rFonts w:ascii="Libre Baskerville" w:eastAsia="Libre Baskerville" w:hAnsi="Libre Baskerville" w:cs="Libre Baskerville"/>
        </w:rPr>
        <w:t>. $350,000 to be added to their reserves by end of year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>YTD Loss rations thru January 2016</w:t>
      </w:r>
    </w:p>
    <w:p w:rsidR="0003485F" w:rsidRDefault="0003485F"/>
    <w:tbl>
      <w:tblPr>
        <w:tblStyle w:val="a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290"/>
        <w:gridCol w:w="945"/>
        <w:gridCol w:w="1395"/>
        <w:gridCol w:w="1125"/>
      </w:tblGrid>
      <w:tr w:rsidR="0003485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03485F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KPS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WSD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Flathead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Total</w:t>
            </w:r>
          </w:p>
        </w:tc>
      </w:tr>
      <w:tr w:rsidR="0003485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Aggregate Stop Loss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90.3%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73%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63.8%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80.8</w:t>
            </w:r>
          </w:p>
        </w:tc>
      </w:tr>
      <w:tr w:rsidR="0003485F">
        <w:trPr>
          <w:trHeight w:val="460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Specific Stop Loss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92.1%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0.0%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0.0%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85F" w:rsidRDefault="00CA379E">
            <w:pPr>
              <w:widowControl w:val="0"/>
              <w:spacing w:line="240" w:lineRule="auto"/>
            </w:pPr>
            <w:r>
              <w:rPr>
                <w:rFonts w:ascii="Libre Baskerville" w:eastAsia="Libre Baskerville" w:hAnsi="Libre Baskerville" w:cs="Libre Baskerville"/>
              </w:rPr>
              <w:t>51.2%</w:t>
            </w:r>
          </w:p>
        </w:tc>
      </w:tr>
    </w:tbl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</w:rPr>
        <w:t xml:space="preserve">*This charts shows the benefit of the consortium purchase of stop loss coverage. Because WSD and the Flathead Group haven’t had a single claim to reach stop loss limit the overall specific stop loss total (all from </w:t>
      </w:r>
      <w:proofErr w:type="gramStart"/>
      <w:r>
        <w:rPr>
          <w:rFonts w:ascii="Libre Baskerville" w:eastAsia="Libre Baskerville" w:hAnsi="Libre Baskerville" w:cs="Libre Baskerville"/>
        </w:rPr>
        <w:t>KPS  group</w:t>
      </w:r>
      <w:proofErr w:type="gramEnd"/>
      <w:r>
        <w:rPr>
          <w:rFonts w:ascii="Libre Baskerville" w:eastAsia="Libre Baskerville" w:hAnsi="Libre Baskerville" w:cs="Libre Baskerville"/>
        </w:rPr>
        <w:t>) is greatly reduced which will</w:t>
      </w:r>
      <w:r>
        <w:rPr>
          <w:rFonts w:ascii="Libre Baskerville" w:eastAsia="Libre Baskerville" w:hAnsi="Libre Baskerville" w:cs="Libre Baskerville"/>
        </w:rPr>
        <w:t xml:space="preserve"> help with stop loss renewal costs for everyone in the consortium.</w:t>
      </w:r>
    </w:p>
    <w:p w:rsidR="0003485F" w:rsidRDefault="00CA379E">
      <w:r>
        <w:rPr>
          <w:rFonts w:ascii="Libre Baskerville" w:eastAsia="Libre Baskerville" w:hAnsi="Libre Baskerville" w:cs="Libre Baskerville"/>
        </w:rPr>
        <w:t>*Tracy Scott will share this information with the board to stress the value of the consortium.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>RFP</w:t>
      </w:r>
    </w:p>
    <w:p w:rsidR="0003485F" w:rsidRDefault="00CA379E">
      <w:r>
        <w:rPr>
          <w:rFonts w:ascii="Libre Baskerville" w:eastAsia="Libre Baskerville" w:hAnsi="Libre Baskerville" w:cs="Libre Baskerville"/>
        </w:rPr>
        <w:t>Stop loss RFP going out on 3/25/16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Mike Young</w:t>
      </w:r>
    </w:p>
    <w:p w:rsidR="0003485F" w:rsidRDefault="00CA379E">
      <w:r>
        <w:rPr>
          <w:rFonts w:ascii="Libre Baskerville" w:eastAsia="Libre Baskerville" w:hAnsi="Libre Baskerville" w:cs="Libre Baskerville"/>
        </w:rPr>
        <w:t>Will close Friday April 15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 xml:space="preserve">2016-17 </w:t>
      </w:r>
      <w:r>
        <w:rPr>
          <w:rFonts w:ascii="Libre Baskerville" w:eastAsia="Libre Baskerville" w:hAnsi="Libre Baskerville" w:cs="Libre Baskerville"/>
          <w:b/>
          <w:u w:val="single"/>
        </w:rPr>
        <w:t>Rate Discussion</w:t>
      </w:r>
      <w:r>
        <w:rPr>
          <w:rFonts w:ascii="Libre Baskerville" w:eastAsia="Libre Baskerville" w:hAnsi="Libre Baskerville" w:cs="Libre Baskerville"/>
          <w:u w:val="single"/>
        </w:rPr>
        <w:t xml:space="preserve"> </w:t>
      </w:r>
      <w:r>
        <w:rPr>
          <w:rFonts w:ascii="Libre Baskerville" w:eastAsia="Libre Baskerville" w:hAnsi="Libre Baskerville" w:cs="Libre Baskerville"/>
          <w:u w:val="sing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 xml:space="preserve">  </w:t>
      </w:r>
      <w:r>
        <w:rPr>
          <w:rFonts w:ascii="Libre Baskerville" w:eastAsia="Libre Baskerville" w:hAnsi="Libre Baskerville" w:cs="Libre Baskerville"/>
        </w:rPr>
        <w:tab/>
        <w:t>Mike Young</w:t>
      </w:r>
    </w:p>
    <w:p w:rsidR="0003485F" w:rsidRDefault="00CA379E">
      <w:r>
        <w:rPr>
          <w:rFonts w:ascii="Libre Baskerville" w:eastAsia="Libre Baskerville" w:hAnsi="Libre Baskerville" w:cs="Libre Baskerville"/>
        </w:rPr>
        <w:t>-Not enough info yet</w:t>
      </w:r>
    </w:p>
    <w:p w:rsidR="0003485F" w:rsidRDefault="00CA379E">
      <w:r>
        <w:rPr>
          <w:rFonts w:ascii="Libre Baskerville" w:eastAsia="Libre Baskerville" w:hAnsi="Libre Baskerville" w:cs="Libre Baskerville"/>
        </w:rPr>
        <w:t>-Rates to be presented/recommended at our next meeting (4/21/16)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</w:rPr>
        <w:t xml:space="preserve">Wellness Update      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Tracy Scott</w:t>
      </w:r>
    </w:p>
    <w:p w:rsidR="0003485F" w:rsidRDefault="00CA379E">
      <w:r>
        <w:rPr>
          <w:rFonts w:ascii="Libre Baskerville" w:eastAsia="Libre Baskerville" w:hAnsi="Libre Baskerville" w:cs="Libre Baskerville"/>
        </w:rPr>
        <w:t>-Braumlee has been sharing employee wellness program experience feedback with Summit.</w:t>
      </w:r>
    </w:p>
    <w:p w:rsidR="0003485F" w:rsidRDefault="00CA379E">
      <w:r>
        <w:rPr>
          <w:rFonts w:ascii="Libre Baskerville" w:eastAsia="Libre Baskerville" w:hAnsi="Libre Baskerville" w:cs="Libre Baskerville"/>
        </w:rPr>
        <w:t>-</w:t>
      </w:r>
      <w:r>
        <w:rPr>
          <w:rFonts w:ascii="Libre Baskerville" w:eastAsia="Libre Baskerville" w:hAnsi="Libre Baskerville" w:cs="Libre Baskerville"/>
        </w:rPr>
        <w:t>Came away feeling that Summit is trying hard to do a good job for us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-Summit will be conducting a survey of all employees who took advantage of Summit </w:t>
      </w:r>
    </w:p>
    <w:p w:rsidR="0003485F" w:rsidRDefault="00CA379E">
      <w:pPr>
        <w:ind w:firstLine="720"/>
      </w:pPr>
      <w:proofErr w:type="gramStart"/>
      <w:r>
        <w:rPr>
          <w:rFonts w:ascii="Libre Baskerville" w:eastAsia="Libre Baskerville" w:hAnsi="Libre Baskerville" w:cs="Libre Baskerville"/>
        </w:rPr>
        <w:t>programming</w:t>
      </w:r>
      <w:proofErr w:type="gramEnd"/>
      <w:r>
        <w:rPr>
          <w:rFonts w:ascii="Libre Baskerville" w:eastAsia="Libre Baskerville" w:hAnsi="Libre Baskerville" w:cs="Libre Baskerville"/>
        </w:rPr>
        <w:t xml:space="preserve"> and will share that information with us.</w:t>
      </w:r>
      <w:r>
        <w:rPr>
          <w:rFonts w:ascii="Libre Baskerville" w:eastAsia="Libre Baskerville" w:hAnsi="Libre Baskerville" w:cs="Libre Baskerville"/>
        </w:rPr>
        <w:tab/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-KPS and Summit will each pick a point of contact </w:t>
      </w:r>
      <w:r>
        <w:rPr>
          <w:rFonts w:ascii="Libre Baskerville" w:eastAsia="Libre Baskerville" w:hAnsi="Libre Baskerville" w:cs="Libre Baskerville"/>
        </w:rPr>
        <w:t xml:space="preserve">person to improve communication  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-Still need building reps from FHS, Vo-Ag, Peterson, </w:t>
      </w:r>
      <w:proofErr w:type="gramStart"/>
      <w:r>
        <w:rPr>
          <w:rFonts w:ascii="Libre Baskerville" w:eastAsia="Libre Baskerville" w:hAnsi="Libre Baskerville" w:cs="Libre Baskerville"/>
        </w:rPr>
        <w:t>Edgerton</w:t>
      </w:r>
      <w:proofErr w:type="gramEnd"/>
      <w:r>
        <w:rPr>
          <w:rFonts w:ascii="Libre Baskerville" w:eastAsia="Libre Baskerville" w:hAnsi="Libre Baskerville" w:cs="Libre Baskerville"/>
        </w:rPr>
        <w:t xml:space="preserve"> &amp; Hedges for Wellness </w:t>
      </w:r>
    </w:p>
    <w:p w:rsidR="0003485F" w:rsidRDefault="00CA379E">
      <w:pPr>
        <w:ind w:firstLine="720"/>
      </w:pPr>
      <w:r>
        <w:rPr>
          <w:rFonts w:ascii="Libre Baskerville" w:eastAsia="Libre Baskerville" w:hAnsi="Libre Baskerville" w:cs="Libre Baskerville"/>
        </w:rPr>
        <w:t>Committee</w:t>
      </w:r>
    </w:p>
    <w:p w:rsidR="0003485F" w:rsidRDefault="0003485F">
      <w:pPr>
        <w:ind w:firstLine="720"/>
      </w:pPr>
    </w:p>
    <w:p w:rsidR="0003485F" w:rsidRDefault="00CA379E">
      <w:r>
        <w:rPr>
          <w:rFonts w:ascii="Libre Baskerville" w:eastAsia="Libre Baskerville" w:hAnsi="Libre Baskerville" w:cs="Libre Baskerville"/>
          <w:b/>
          <w:u w:val="single"/>
        </w:rPr>
        <w:t>Updates on Hospital Committee</w:t>
      </w:r>
    </w:p>
    <w:p w:rsidR="0003485F" w:rsidRDefault="00CA379E">
      <w:r>
        <w:rPr>
          <w:rFonts w:ascii="Libre Baskerville" w:eastAsia="Libre Baskerville" w:hAnsi="Libre Baskerville" w:cs="Libre Baskerville"/>
        </w:rPr>
        <w:t>-1st Choice rep, Greg (of KRMC) &amp;</w:t>
      </w:r>
      <w:r>
        <w:rPr>
          <w:rFonts w:ascii="Libre Baskerville" w:eastAsia="Libre Baskerville" w:hAnsi="Libre Baskerville" w:cs="Libre Baskerville"/>
        </w:rPr>
        <w:t xml:space="preserve"> Mike young to meet 3/30/16 to establish a multi interdisciplinary committee to help manage claims and establish better pricing in </w:t>
      </w:r>
      <w:proofErr w:type="spellStart"/>
      <w:r>
        <w:rPr>
          <w:rFonts w:ascii="Libre Baskerville" w:eastAsia="Libre Baskerville" w:hAnsi="Libre Baskerville" w:cs="Libre Baskerville"/>
        </w:rPr>
        <w:t>exnchange</w:t>
      </w:r>
      <w:proofErr w:type="spellEnd"/>
      <w:r>
        <w:rPr>
          <w:rFonts w:ascii="Libre Baskerville" w:eastAsia="Libre Baskerville" w:hAnsi="Libre Baskerville" w:cs="Libre Baskerville"/>
        </w:rPr>
        <w:t xml:space="preserve"> for steering our members to their Doctors.</w:t>
      </w:r>
    </w:p>
    <w:p w:rsidR="0003485F" w:rsidRDefault="00CA379E">
      <w:r>
        <w:rPr>
          <w:rFonts w:ascii="Libre Baskerville" w:eastAsia="Libre Baskerville" w:hAnsi="Libre Baskerville" w:cs="Libre Baskerville"/>
        </w:rPr>
        <w:t>-Ideal = need Doctors to really guide members to best care</w:t>
      </w:r>
    </w:p>
    <w:p w:rsidR="0003485F" w:rsidRDefault="00CA379E">
      <w:r>
        <w:rPr>
          <w:rFonts w:ascii="Libre Baskerville" w:eastAsia="Libre Baskerville" w:hAnsi="Libre Baskerville" w:cs="Libre Baskerville"/>
        </w:rPr>
        <w:t>-1st Choice d</w:t>
      </w:r>
      <w:r>
        <w:rPr>
          <w:rFonts w:ascii="Libre Baskerville" w:eastAsia="Libre Baskerville" w:hAnsi="Libre Baskerville" w:cs="Libre Baskerville"/>
        </w:rPr>
        <w:t>oes this in Seattle with success</w:t>
      </w:r>
    </w:p>
    <w:p w:rsidR="0003485F" w:rsidRDefault="00CA379E">
      <w:r>
        <w:rPr>
          <w:rFonts w:ascii="Libre Baskerville" w:eastAsia="Libre Baskerville" w:hAnsi="Libre Baskerville" w:cs="Libre Baskerville"/>
        </w:rPr>
        <w:t>-KPS insurance group subcommittee is Mike Young, Mike Thiel, Tracy Scott &amp; Jack Fallon</w:t>
      </w:r>
    </w:p>
    <w:p w:rsidR="0003485F" w:rsidRDefault="0003485F"/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b/>
        </w:rPr>
        <w:t>Other:</w:t>
      </w:r>
    </w:p>
    <w:p w:rsidR="0003485F" w:rsidRDefault="00CA379E">
      <w:r>
        <w:rPr>
          <w:rFonts w:ascii="Libre Baskerville" w:eastAsia="Libre Baskerville" w:hAnsi="Libre Baskerville" w:cs="Libre Baskerville"/>
          <w:u w:val="single"/>
        </w:rPr>
        <w:t>Mike Young</w:t>
      </w:r>
    </w:p>
    <w:p w:rsidR="0003485F" w:rsidRDefault="00CA379E">
      <w:r>
        <w:rPr>
          <w:rFonts w:ascii="Libre Baskerville" w:eastAsia="Libre Baskerville" w:hAnsi="Libre Baskerville" w:cs="Libre Baskerville"/>
        </w:rPr>
        <w:t>-Mike Young and Gwyn are working on enterprise fund set up</w:t>
      </w:r>
    </w:p>
    <w:p w:rsidR="0003485F" w:rsidRDefault="00CA379E">
      <w:r>
        <w:rPr>
          <w:rFonts w:ascii="Libre Baskerville" w:eastAsia="Libre Baskerville" w:hAnsi="Libre Baskerville" w:cs="Libre Baskerville"/>
        </w:rPr>
        <w:t>-waiting for written response from OPI</w:t>
      </w:r>
    </w:p>
    <w:p w:rsidR="0003485F" w:rsidRDefault="00CA379E">
      <w:r>
        <w:rPr>
          <w:rFonts w:ascii="Libre Baskerville" w:eastAsia="Libre Baskerville" w:hAnsi="Libre Baskerville" w:cs="Libre Baskerville"/>
        </w:rPr>
        <w:t>-Mike is very optimistic</w:t>
      </w:r>
    </w:p>
    <w:p w:rsidR="0003485F" w:rsidRDefault="0003485F"/>
    <w:p w:rsidR="0003485F" w:rsidRDefault="00CA379E">
      <w:r>
        <w:rPr>
          <w:rFonts w:ascii="Libre Baskerville" w:eastAsia="Libre Baskerville" w:hAnsi="Libre Baskerville" w:cs="Libre Baskerville"/>
          <w:u w:val="single"/>
        </w:rPr>
        <w:t>Mike Young</w:t>
      </w:r>
    </w:p>
    <w:p w:rsidR="0003485F" w:rsidRDefault="00CA379E">
      <w:r>
        <w:rPr>
          <w:rFonts w:ascii="Libre Baskerville" w:eastAsia="Libre Baskerville" w:hAnsi="Libre Baskerville" w:cs="Libre Baskerville"/>
        </w:rPr>
        <w:t>Mother sheets and financial report from business office are getting closer to balancing - within $1,000 by Mikes calculations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2.2 mil balance from end of last year dropped on </w:t>
      </w:r>
      <w:proofErr w:type="gramStart"/>
      <w:r>
        <w:rPr>
          <w:rFonts w:ascii="Libre Baskerville" w:eastAsia="Libre Baskerville" w:hAnsi="Libre Baskerville" w:cs="Libre Baskerville"/>
        </w:rPr>
        <w:t>Financial</w:t>
      </w:r>
      <w:proofErr w:type="gramEnd"/>
      <w:r>
        <w:rPr>
          <w:rFonts w:ascii="Libre Baskerville" w:eastAsia="Libre Baskerville" w:hAnsi="Libre Baskerville" w:cs="Libre Baskerville"/>
        </w:rPr>
        <w:t xml:space="preserve"> position statement.</w:t>
      </w:r>
    </w:p>
    <w:p w:rsidR="0003485F" w:rsidRDefault="00CA379E">
      <w:r>
        <w:rPr>
          <w:rFonts w:ascii="Libre Baskerville" w:eastAsia="Libre Baskerville" w:hAnsi="Libre Baskerville" w:cs="Libre Baskerville"/>
        </w:rPr>
        <w:t>Mike thinks ma</w:t>
      </w:r>
      <w:r>
        <w:rPr>
          <w:rFonts w:ascii="Libre Baskerville" w:eastAsia="Libre Baskerville" w:hAnsi="Libre Baskerville" w:cs="Libre Baskerville"/>
        </w:rPr>
        <w:t>ybe it has to do with stop loss premium treatment</w:t>
      </w:r>
    </w:p>
    <w:p w:rsidR="0003485F" w:rsidRDefault="00CA379E">
      <w:r>
        <w:rPr>
          <w:rFonts w:ascii="Libre Baskerville" w:eastAsia="Libre Baskerville" w:hAnsi="Libre Baskerville" w:cs="Libre Baskerville"/>
        </w:rPr>
        <w:t xml:space="preserve">Mike and Delia will meet next week to work on this </w:t>
      </w:r>
    </w:p>
    <w:p w:rsidR="0003485F" w:rsidRDefault="0003485F"/>
    <w:p w:rsidR="0003485F" w:rsidRDefault="0003485F"/>
    <w:p w:rsidR="0003485F" w:rsidRDefault="0003485F"/>
    <w:p w:rsidR="0003485F" w:rsidRDefault="0003485F"/>
    <w:p w:rsidR="0003485F" w:rsidRDefault="0003485F"/>
    <w:p w:rsidR="0003485F" w:rsidRDefault="0003485F"/>
    <w:p w:rsidR="0003485F" w:rsidRDefault="0003485F"/>
    <w:sectPr w:rsidR="0003485F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4CC"/>
    <w:multiLevelType w:val="multilevel"/>
    <w:tmpl w:val="653056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5F"/>
    <w:rsid w:val="0003485F"/>
    <w:rsid w:val="00C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D046D-E099-4761-9E21-F60B6F4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Braumlee Boyce</dc:creator>
  <cp:lastModifiedBy>Braumlee Boyce</cp:lastModifiedBy>
  <cp:revision>2</cp:revision>
  <dcterms:created xsi:type="dcterms:W3CDTF">2016-04-19T18:23:00Z</dcterms:created>
  <dcterms:modified xsi:type="dcterms:W3CDTF">2016-04-19T18:23:00Z</dcterms:modified>
</cp:coreProperties>
</file>